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322" w:rsidRPr="009D2433" w:rsidRDefault="00782AB1" w:rsidP="008B43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32"/>
          <w:szCs w:val="32"/>
          <w:lang w:val="ro-RO"/>
        </w:rPr>
      </w:pPr>
      <w:r w:rsidRPr="00782AB1">
        <w:rPr>
          <w:rFonts w:ascii="Times New Roman" w:hAnsi="Times New Roman"/>
          <w:b/>
          <w:noProof/>
          <w:sz w:val="32"/>
          <w:szCs w:val="32"/>
          <w:lang w:val="ro-RO"/>
        </w:rPr>
        <w:drawing>
          <wp:inline distT="0" distB="0" distL="0" distR="0">
            <wp:extent cx="5943600" cy="84899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87E" w:rsidRPr="009D2433" w:rsidRDefault="001F787E" w:rsidP="005F78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32"/>
          <w:szCs w:val="32"/>
          <w:lang w:val="ro-RO"/>
        </w:rPr>
      </w:pP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b/>
          <w:noProof/>
          <w:sz w:val="32"/>
          <w:szCs w:val="32"/>
          <w:lang w:val="ro-RO"/>
        </w:rPr>
        <w:t xml:space="preserve">Ordinul M.E. 3946 din 01.06.2001- norme specifice 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b/>
          <w:noProof/>
          <w:sz w:val="32"/>
          <w:szCs w:val="32"/>
          <w:lang w:val="ro-RO"/>
        </w:rPr>
        <w:t>de prevenire şi stingere a incendiilor în unităţile de învăţământ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32"/>
          <w:szCs w:val="32"/>
          <w:u w:val="single"/>
          <w:lang w:val="ro-RO"/>
        </w:rPr>
      </w:pPr>
      <w:r w:rsidRPr="009D2433">
        <w:rPr>
          <w:rFonts w:ascii="Times New Roman" w:hAnsi="Times New Roman"/>
          <w:b/>
          <w:noProof/>
          <w:sz w:val="32"/>
          <w:szCs w:val="32"/>
          <w:u w:val="single"/>
          <w:lang w:val="ro-RO"/>
        </w:rPr>
        <w:t>Instalaţii electrice</w:t>
      </w:r>
    </w:p>
    <w:p w:rsidR="001F787E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32"/>
          <w:szCs w:val="32"/>
          <w:u w:val="single"/>
          <w:lang w:val="ro-RO"/>
        </w:rPr>
      </w:pP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Pentru a nu constitui cauze de incendiu, instalaţiile electrice vor fi intreţinute, verificate si utilizate in condiţiile prevăzute in reglementarile tehnice de specialitate si documentaţiile producătorilor de echipamente.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Pentru a se asigura protecţia utilizatorilor si siguranţa in exploatare toate instalaţiile, materialele, aparatele si echipamentele electrice folosite vor indeplini nivelele de performanţă necesare.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Se interzice exploatarea instalaţiilor, echipamentelor si aparatelor electrice in condiţii in care se generează curenţi de suprasarcină, datorită unor consumatori care depăsesc puterea nominală a circuitelor.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Se interzice, in principal;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inlocuirea siguranţelor, releelor de protecţie si a intreruptoarelor automate cu altele necalibrate;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racordarea unor consumatori care depăsesc puterea nominală a circuitelor;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incărcarea instalaţiei electrice ( conductoare, cabluri, intreruptoare, comutatoare, prize, transformatoare etc.) peste sarcina admisă;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nerealizarea unor contacte electrice perfecte, cu rezistenţă de trecere comparabilă cu rezistenţa ohmică a conductoarelor legate, sigure in timp si usor de verificat: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neasigurarea aceluiasi nivel de izolaţie ca si al conductoarelor la legăturile electrice;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supunerea legăturilor electrice la eforturi de tracţiune care nu fac parte din liniile de contact ce alimentează receptoare mobile si conductele electrice izolate liber, pe suporturi corespunzător alcătuite si dimensionate;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nepregătirea suprafeţelor de contact ale conductorilor inainte de execuţia legăturilor electrice prin mijloace adecvate;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• nelegarea corespunzătoare a conductoarelor la aparate, echipamente, masini, elemente metalice etc. Legarea corectă se face prin strangere mecanică cu suruburi, in cazul conductoarelor cu secţiuni mai mici sau egale cu 10 mm2 si </w:t>
      </w:r>
      <w:r w:rsidRPr="009D2433">
        <w:rPr>
          <w:rFonts w:ascii="Times New Roman" w:hAnsi="Times New Roman"/>
          <w:noProof/>
          <w:sz w:val="32"/>
          <w:szCs w:val="32"/>
          <w:lang w:val="ro-RO"/>
        </w:rPr>
        <w:lastRenderedPageBreak/>
        <w:t>direct sau prin intermediul papucilor sau a clemelor speciale in cazul conductoarelor cu secţiuni egale sau mai mari de 16 mm2.La conductoarele care se leagă cu elemente mobile, legăturile se prevăd cu elemente elastice cu suprafaţă striată;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lăsarea neizolată a capetelor conductoarelor electrice, in cazul demontării parţiale a unei instalaţii;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folosirea legăturilor provizorii prin introducerea conductoarelor electrice, fără stecher, direct in prize;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utilizarea prizelor, neprevăzute cu dispozitiv de protecţie diferenţială si de limitare a puterii, amplasate la distanţă mai mică de 1,00 m de materiale combustibile (in depozitele si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magaziile cu materiale combustibile);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utilizarea receptorilor de energie electrică ( radiatoare, resouri, fiare de călcat, ciocane de lipit etc.) fără luarea măsurilor de izolare faţă de materialele si elementele combustibile din spaţiul sau incăperea respectivă;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utilizarea lămpilor mobile (portative ), alimentate prin cordoane improvizate si/sau uzate;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folosirea la corpurile de iluminat a filtrelor de lumină (abajururilor) improvizate, din carton, hartie sau alte materiale combustibile;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asezarea pe motoarele electrice, a unor materiale combustibile (carpe, hartii, folii de mase plastice, lemne etc);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utilizarea radiatoarelor si a resourilor electrice neomologate sau in alte locuri decat cele stabilite prin instrucţiuni sau agremente tehnice;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folosirea in stare defectă, uzată si/sau cu improvizaţii, a instalaţiei electrice si/sau a receptorilor electrici;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suspendarea corpurilor de iluminat direct de conductoarele de alimentare, dacă aceasta nu este prevăzută din fabricaţie;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agăţarea de, sau introducerea in interiorul panourilor, niselor, tablourilor, canalelor sau a tunelelor electrice, a obiectelor de orice fel;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adăpostirea de obiecte si/sau materiale combustibile in posturile de transformare si/sau incăperile tablourilor generale de distribu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ie electrică; </w:t>
      </w:r>
    </w:p>
    <w:p w:rsidR="008B4322" w:rsidRPr="009D2433" w:rsidRDefault="008B4322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>• efectuarea lucrărilor de intre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Pr="009D2433">
        <w:rPr>
          <w:rFonts w:ascii="Times New Roman" w:hAnsi="Times New Roman"/>
          <w:noProof/>
          <w:sz w:val="32"/>
          <w:szCs w:val="32"/>
          <w:lang w:val="ro-RO"/>
        </w:rPr>
        <w:t>inere, revizii si repara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Pr="009D2433">
        <w:rPr>
          <w:rFonts w:ascii="Times New Roman" w:hAnsi="Times New Roman"/>
          <w:noProof/>
          <w:sz w:val="32"/>
          <w:szCs w:val="32"/>
          <w:lang w:val="ro-RO"/>
        </w:rPr>
        <w:t>ii de către persoanal necalificat si neautorizat;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Nu este admisă folosirea instala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iilor neprotejate corespunzător in medii cu pericol de explozie si/sau incendiu –(categoriile “A”,”B” si “C” de pericol de incendiu), precum si in sălile aglomerate.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lastRenderedPageBreak/>
        <w:t xml:space="preserve">  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Aparatele electrice portative (mobile ) se folosesc numai cu stecher si conductoare corespunzător izolate si in bună stare de func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ionare, iar pe timpul cat sunt sub tensiune se va asigura supravegherea lor.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Sursele de energie de rezervă pentru alimentarea consumatorilor cu rol de siguran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ă la foc (vitali), vor fi men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inute in bună stare de func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ionare si verificate periodic.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La terminarea programului de lucru, instala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ia electrică va fi scoasă de sub tensiune cu excep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ia iluminatului de siguran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ă si a instala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iei de alimentare a receptoarelor cu rol de siguran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ă la foc.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Revizia, inlocuirea, sau repararea unor elemente ale instala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iei electrice ( iluminat, for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ă si curen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 slabi ) in medii cu risc de explozie – categoriile “A” si “B” de pericol de incendiu, este admisă numai după intreruperea alimentării electrice.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Tablourile electrice generale de distribu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ie vor fi inchise in permanen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ă cu cheia, accesul la ele fiind permis numai electricianului de serviciu, precum si organelor de control si verificare. Incăperea si elementele tabloului vor fi in perfectă stare de cur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ăţ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enie ( fără praf, scame etc.). Pe partea interioară a tabloului general de distribu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ie se afisează schema cu circuitele electrice pentru ca in caz de necesitate să poată fi identificată si intreruptă operativ alimentarea.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La toate tipurile de tablouri electrice, legăturile trebuie realizate conform reglementărilor, iar in apropierea tablourilor se interzice păstrarea materialelor si a substan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elor combustibile, precum si blocarea accesului la acestea. Se va păstra cur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ăţ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enia, iar la tablourile capsulate, garniturile de etansare vor fi in bună stare si bine stranse (fixate). Se interzice legarea directă la bornele tabloului de distribu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ie a lămpilor de iluminat, a motoarelor electrice sau a altor consumatori de energie electrică.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T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ablourile electrice de distribu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ie, releele, contactoarele etc. vor fi prevăzute cu carcase de protec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ie, iar la tablouri se vor intrebuin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a numai siguranŃe calibrate conform normelor in vigoare. Se interzice inlocuirea siguranŃelor fuzibile arse cu fir de liŃă, staniol sau cu alte materiale cu rezistenŃă electrică necalibrată. Clemele siguran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elor lamelare nu se fixează pe lemn, carton sau alte materiale combustibile;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Se interzice supraincărcarea circuitelor prin racordarea mai multor consumatori decat cei prevăzu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 pentru instala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ia respectivă. Se va urmări ca temperatura conductoarelor in sarcină să nu depăsească temperatura admisă.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Toate utilajele si aparatele electrice vor fi prevăzute cu plăci pe care sunt precizate caracteristicile lor si schema de conexiuni.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lastRenderedPageBreak/>
        <w:t xml:space="preserve">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Periodic, pe baza unui grafic aprobat, se realizează revizia instala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iilor electrice de iluminat, de for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ă sau de curen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 slabi ( tablouri de distribu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ie, siguran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e, starea conductoarelor, a dozelor, prizelor, intreruptoarelor, corpurilor de iluminat, conexiunilor, rezisten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ei ohmice si legătura la pămant etc.).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Revizia completă a instala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iilor electrice montate in medii cu pericol de explozie se realizează cel pu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in o dată pe an, conform graficului de revizie.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Nu este admisă folosirea motoarelor si a aparatelor electrice cu carcasele si capacele demontate, sau in condi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ii in care să nu asigure răcirea lor printr-o bună circula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ie a aerului din jur.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Incălzirea lagărelor si a carcaselor motoarelor va fi controlată periodic pentru a nu depăsi temperaturile admise.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Instala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iile si sistemele de captare si scurgere la pămant a sarcinilor electrostatice se men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in in stare de bună func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ionare, la parametrii prevăzu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Este interzisă exploatarea instala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iilor cu elemente metalice nelegate la pămant sau cu instala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ii de punere la pămant incomplete, defecte sau necorespunzătoare din punct de vedere al rezisten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ei ohmice. Motoarele, echipamentul aferent tablourilor de distribu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ie, sau tablourile de comandă vor fi legate la pămant in mod obligatoriu.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Prin instruc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iuni specifice se precizează acele utilaje care in timpul func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ionării produc electricitate statică si măsurile luate pentru asigurarea descărcării la pămant a acesteia. Verificarea instala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iilor de punere la pămant a acestor utilaje si, in general, a tuturor ehipamentelor electrice, se va face periodic, conform reglementărilor in vigoare.</w:t>
      </w:r>
    </w:p>
    <w:p w:rsidR="008B4322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Instala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iile de protec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ie impotriva trăsnetului vor fi men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inute si exploatate in bună stare de func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ionare. Verificarea si intre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inerea acestora vor fi efectuate numai de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personal specializat si conform reglementărilor tehnice in vigoare.</w:t>
      </w:r>
    </w:p>
    <w:p w:rsidR="00045859" w:rsidRPr="009D2433" w:rsidRDefault="001F787E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  <w:r w:rsidRPr="009D2433">
        <w:rPr>
          <w:rFonts w:ascii="Times New Roman" w:hAnsi="Times New Roman"/>
          <w:noProof/>
          <w:sz w:val="32"/>
          <w:szCs w:val="32"/>
          <w:lang w:val="ro-RO"/>
        </w:rPr>
        <w:t xml:space="preserve">       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Instala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iile de protec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ie contra trăsnetului se vor controla periodic, conform unui grafic stabilit, urmărindu-se buna func</w:t>
      </w:r>
      <w:r w:rsidR="00573B38" w:rsidRPr="009D2433">
        <w:rPr>
          <w:rFonts w:ascii="Times New Roman" w:hAnsi="Times New Roman"/>
          <w:noProof/>
          <w:sz w:val="32"/>
          <w:szCs w:val="32"/>
          <w:lang w:val="ro-RO"/>
        </w:rPr>
        <w:t>ţ</w:t>
      </w:r>
      <w:r w:rsidR="008B4322" w:rsidRPr="009D2433">
        <w:rPr>
          <w:rFonts w:ascii="Times New Roman" w:hAnsi="Times New Roman"/>
          <w:noProof/>
          <w:sz w:val="32"/>
          <w:szCs w:val="32"/>
          <w:lang w:val="ro-RO"/>
        </w:rPr>
        <w:t>ionare a elementelor componente (dispozitive de captare, conductoare de coborare, prize de pămant etc.).</w:t>
      </w:r>
    </w:p>
    <w:p w:rsidR="00047E3B" w:rsidRPr="009D2433" w:rsidRDefault="00047E3B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</w:p>
    <w:p w:rsidR="00047E3B" w:rsidRPr="009D2433" w:rsidRDefault="00047E3B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</w:p>
    <w:p w:rsidR="00047E3B" w:rsidRPr="009D2433" w:rsidRDefault="00047E3B" w:rsidP="00047E3B">
      <w:pPr>
        <w:ind w:left="708"/>
        <w:jc w:val="both"/>
        <w:rPr>
          <w:rFonts w:ascii="Times New Roman" w:hAnsi="Times New Roman"/>
          <w:bCs/>
          <w:i/>
          <w:noProof/>
          <w:sz w:val="28"/>
          <w:szCs w:val="28"/>
          <w:u w:val="single"/>
          <w:lang w:val="ro-RO"/>
        </w:rPr>
      </w:pPr>
      <w:r w:rsidRPr="009D2433">
        <w:rPr>
          <w:rFonts w:ascii="Times New Roman" w:hAnsi="Times New Roman"/>
          <w:bCs/>
          <w:i/>
          <w:noProof/>
          <w:sz w:val="28"/>
          <w:szCs w:val="28"/>
          <w:u w:val="single"/>
          <w:lang w:val="ro-RO"/>
        </w:rPr>
        <w:t>Cadru tehnic - Responsabil P.S.I.</w:t>
      </w:r>
    </w:p>
    <w:p w:rsidR="00047E3B" w:rsidRPr="009D2433" w:rsidRDefault="00047E3B" w:rsidP="00047E3B">
      <w:pPr>
        <w:ind w:left="708"/>
        <w:jc w:val="both"/>
        <w:rPr>
          <w:rFonts w:ascii="Times New Roman" w:hAnsi="Times New Roman"/>
          <w:b/>
          <w:bCs/>
          <w:i/>
          <w:noProof/>
          <w:sz w:val="28"/>
          <w:szCs w:val="28"/>
          <w:lang w:val="ro-RO"/>
        </w:rPr>
      </w:pPr>
      <w:r w:rsidRPr="009D2433">
        <w:rPr>
          <w:rFonts w:ascii="Times New Roman" w:hAnsi="Times New Roman"/>
          <w:bCs/>
          <w:i/>
          <w:noProof/>
          <w:sz w:val="28"/>
          <w:szCs w:val="28"/>
          <w:lang w:val="ro-RO"/>
        </w:rPr>
        <w:t xml:space="preserve"> </w:t>
      </w:r>
      <w:r w:rsidRPr="009D2433">
        <w:rPr>
          <w:rFonts w:ascii="Times New Roman" w:hAnsi="Times New Roman"/>
          <w:b/>
          <w:bCs/>
          <w:i/>
          <w:noProof/>
          <w:sz w:val="28"/>
          <w:szCs w:val="28"/>
          <w:lang w:val="ro-RO"/>
        </w:rPr>
        <w:t>Col.(r)ing. NICHIFOROV Vasile</w:t>
      </w:r>
    </w:p>
    <w:p w:rsidR="00047E3B" w:rsidRPr="009D2433" w:rsidRDefault="00047E3B" w:rsidP="008B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32"/>
          <w:szCs w:val="32"/>
          <w:lang w:val="ro-RO"/>
        </w:rPr>
      </w:pPr>
    </w:p>
    <w:sectPr w:rsidR="00047E3B" w:rsidRPr="009D2433" w:rsidSect="008B4322">
      <w:footerReference w:type="default" r:id="rId7"/>
      <w:pgSz w:w="12240" w:h="15840"/>
      <w:pgMar w:top="567" w:right="567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936" w:rsidRDefault="00473936" w:rsidP="00047E3B">
      <w:pPr>
        <w:spacing w:after="0" w:line="240" w:lineRule="auto"/>
      </w:pPr>
      <w:r>
        <w:separator/>
      </w:r>
    </w:p>
  </w:endnote>
  <w:endnote w:type="continuationSeparator" w:id="1">
    <w:p w:rsidR="00473936" w:rsidRDefault="00473936" w:rsidP="00047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6532"/>
      <w:docPartObj>
        <w:docPartGallery w:val="Page Numbers (Bottom of Page)"/>
        <w:docPartUnique/>
      </w:docPartObj>
    </w:sdtPr>
    <w:sdtContent>
      <w:p w:rsidR="00047E3B" w:rsidRDefault="006428C4">
        <w:pPr>
          <w:pStyle w:val="Footer"/>
          <w:jc w:val="center"/>
        </w:pPr>
        <w:fldSimple w:instr=" PAGE   \* MERGEFORMAT ">
          <w:r w:rsidR="00782AB1">
            <w:rPr>
              <w:noProof/>
            </w:rPr>
            <w:t>1</w:t>
          </w:r>
        </w:fldSimple>
      </w:p>
    </w:sdtContent>
  </w:sdt>
  <w:p w:rsidR="00047E3B" w:rsidRDefault="00047E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936" w:rsidRDefault="00473936" w:rsidP="00047E3B">
      <w:pPr>
        <w:spacing w:after="0" w:line="240" w:lineRule="auto"/>
      </w:pPr>
      <w:r>
        <w:separator/>
      </w:r>
    </w:p>
  </w:footnote>
  <w:footnote w:type="continuationSeparator" w:id="1">
    <w:p w:rsidR="00473936" w:rsidRDefault="00473936" w:rsidP="00047E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4322"/>
    <w:rsid w:val="000033E5"/>
    <w:rsid w:val="00041F76"/>
    <w:rsid w:val="00047E3B"/>
    <w:rsid w:val="00183590"/>
    <w:rsid w:val="001B7665"/>
    <w:rsid w:val="001F787E"/>
    <w:rsid w:val="00245CD3"/>
    <w:rsid w:val="00261F36"/>
    <w:rsid w:val="00336E2A"/>
    <w:rsid w:val="00396217"/>
    <w:rsid w:val="00473936"/>
    <w:rsid w:val="0051685F"/>
    <w:rsid w:val="005455CF"/>
    <w:rsid w:val="00573B38"/>
    <w:rsid w:val="005F7889"/>
    <w:rsid w:val="006428C4"/>
    <w:rsid w:val="00782AB1"/>
    <w:rsid w:val="007C1AA5"/>
    <w:rsid w:val="00851B1F"/>
    <w:rsid w:val="008644B3"/>
    <w:rsid w:val="008A14A0"/>
    <w:rsid w:val="008B4322"/>
    <w:rsid w:val="00944D21"/>
    <w:rsid w:val="00962358"/>
    <w:rsid w:val="00983C02"/>
    <w:rsid w:val="009D2433"/>
    <w:rsid w:val="009F3FFB"/>
    <w:rsid w:val="00C11239"/>
    <w:rsid w:val="00D80164"/>
    <w:rsid w:val="00DC68C2"/>
    <w:rsid w:val="00F3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164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16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16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D80164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47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7E3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47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E3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A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1343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CJRAE 5</cp:lastModifiedBy>
  <cp:revision>11</cp:revision>
  <cp:lastPrinted>2017-02-27T13:17:00Z</cp:lastPrinted>
  <dcterms:created xsi:type="dcterms:W3CDTF">2016-05-09T05:32:00Z</dcterms:created>
  <dcterms:modified xsi:type="dcterms:W3CDTF">2019-12-09T07:10:00Z</dcterms:modified>
</cp:coreProperties>
</file>